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40AD" w14:textId="4ACF18DB" w:rsidR="00BC7E0D" w:rsidRDefault="008D5C1E" w:rsidP="004F3012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07C41347" wp14:editId="238D23FB">
            <wp:extent cx="2851986" cy="914400"/>
            <wp:effectExtent l="0" t="0" r="5715" b="0"/>
            <wp:docPr id="976723188" name="Picture 2" descr="A red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723188" name="Picture 2" descr="A red blue and yellow logo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35" b="26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986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44"/>
          <w:szCs w:val="44"/>
        </w:rPr>
        <w:t xml:space="preserve">       </w:t>
      </w:r>
      <w:r>
        <w:rPr>
          <w:b/>
          <w:bCs/>
          <w:noProof/>
          <w:sz w:val="44"/>
          <w:szCs w:val="44"/>
        </w:rPr>
        <w:drawing>
          <wp:inline distT="0" distB="0" distL="0" distR="0" wp14:anchorId="05F9571D" wp14:editId="0EAC051B">
            <wp:extent cx="1739616" cy="868680"/>
            <wp:effectExtent l="0" t="0" r="0" b="7620"/>
            <wp:docPr id="46260343" name="Picture 1" descr="A blue and white circle with a su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60343" name="Picture 1" descr="A blue and white circle with a sun an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616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560">
        <w:rPr>
          <w:b/>
          <w:bCs/>
          <w:sz w:val="44"/>
          <w:szCs w:val="44"/>
        </w:rPr>
        <w:t xml:space="preserve">  </w:t>
      </w:r>
      <w:r w:rsidR="00D44628">
        <w:rPr>
          <w:b/>
          <w:bCs/>
          <w:sz w:val="44"/>
          <w:szCs w:val="44"/>
        </w:rPr>
        <w:t xml:space="preserve"> </w:t>
      </w:r>
      <w:r w:rsidR="00DD7562">
        <w:rPr>
          <w:b/>
          <w:bCs/>
          <w:sz w:val="44"/>
          <w:szCs w:val="44"/>
        </w:rPr>
        <w:t xml:space="preserve">     </w:t>
      </w:r>
      <w:r w:rsidR="00D44628">
        <w:rPr>
          <w:b/>
          <w:bCs/>
          <w:sz w:val="44"/>
          <w:szCs w:val="44"/>
        </w:rPr>
        <w:t xml:space="preserve">   </w:t>
      </w:r>
      <w:r w:rsidR="004D13E6">
        <w:rPr>
          <w:b/>
          <w:bCs/>
          <w:sz w:val="44"/>
          <w:szCs w:val="44"/>
        </w:rPr>
        <w:t xml:space="preserve">  </w:t>
      </w:r>
    </w:p>
    <w:p w14:paraId="13079B4D" w14:textId="77777777" w:rsidR="0010749E" w:rsidRPr="00F624E1" w:rsidRDefault="0010749E" w:rsidP="004F3012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4"/>
        <w:gridCol w:w="4746"/>
      </w:tblGrid>
      <w:tr w:rsidR="004F3012" w14:paraId="6B134F8A" w14:textId="77777777" w:rsidTr="006B2606">
        <w:tc>
          <w:tcPr>
            <w:tcW w:w="6120" w:type="dxa"/>
          </w:tcPr>
          <w:p w14:paraId="06B48803" w14:textId="77777777" w:rsidR="004F3012" w:rsidRPr="006B2606" w:rsidRDefault="004F3012" w:rsidP="00F624E1">
            <w:pPr>
              <w:spacing w:line="192" w:lineRule="auto"/>
              <w:rPr>
                <w:b/>
                <w:bCs/>
                <w:sz w:val="40"/>
                <w:szCs w:val="40"/>
              </w:rPr>
            </w:pPr>
            <w:r w:rsidRPr="006B2606">
              <w:rPr>
                <w:b/>
                <w:bCs/>
                <w:sz w:val="40"/>
                <w:szCs w:val="40"/>
              </w:rPr>
              <w:t>When the going gets tough, the Dems get stronger—together</w:t>
            </w:r>
          </w:p>
          <w:p w14:paraId="0801B20E" w14:textId="77777777" w:rsidR="004F3012" w:rsidRPr="006B2606" w:rsidRDefault="004F3012" w:rsidP="004F3012">
            <w:pPr>
              <w:rPr>
                <w:b/>
                <w:bCs/>
                <w:sz w:val="16"/>
                <w:szCs w:val="16"/>
              </w:rPr>
            </w:pPr>
          </w:p>
          <w:p w14:paraId="3AD35884" w14:textId="63A2CBAB" w:rsidR="004F3012" w:rsidRDefault="004F3012" w:rsidP="001775EB">
            <w:r w:rsidRPr="00512ED6">
              <w:t xml:space="preserve">Supplemental Nutrition Assistance Program (SNAP) benefits are </w:t>
            </w:r>
            <w:r w:rsidR="00A56CCF">
              <w:t>set to be</w:t>
            </w:r>
            <w:r w:rsidRPr="00512ED6">
              <w:t xml:space="preserve"> suspended </w:t>
            </w:r>
            <w:r>
              <w:t xml:space="preserve"> </w:t>
            </w:r>
            <w:r w:rsidRPr="00512ED6">
              <w:t>Nov</w:t>
            </w:r>
            <w:r>
              <w:t xml:space="preserve">ember 1, </w:t>
            </w:r>
            <w:r w:rsidRPr="00512ED6">
              <w:t xml:space="preserve">if the current federal </w:t>
            </w:r>
            <w:r w:rsidR="00085E0A">
              <w:t>government shutdown</w:t>
            </w:r>
            <w:r w:rsidRPr="00512ED6">
              <w:t xml:space="preserve"> continues</w:t>
            </w:r>
            <w:r w:rsidR="007860E9">
              <w:t>.</w:t>
            </w:r>
            <w:r w:rsidR="00390610">
              <w:t xml:space="preserve"> </w:t>
            </w:r>
          </w:p>
          <w:p w14:paraId="2A58BA83" w14:textId="77777777" w:rsidR="004F3012" w:rsidRPr="001775EB" w:rsidRDefault="004F3012" w:rsidP="001775EB">
            <w:pPr>
              <w:rPr>
                <w:sz w:val="16"/>
                <w:szCs w:val="16"/>
              </w:rPr>
            </w:pPr>
          </w:p>
          <w:p w14:paraId="123A1583" w14:textId="104F3133" w:rsidR="004F3012" w:rsidRPr="00390610" w:rsidRDefault="00390610" w:rsidP="001775EB">
            <w:r>
              <w:t>T</w:t>
            </w:r>
            <w:r w:rsidR="004F3012" w:rsidRPr="00512ED6">
              <w:t>he pause in SNAP benefits will leave many families in our communit</w:t>
            </w:r>
            <w:r w:rsidR="004F3012">
              <w:t>ies</w:t>
            </w:r>
            <w:r w:rsidR="004F3012" w:rsidRPr="00512ED6">
              <w:t xml:space="preserve"> struggling to put food on the table. </w:t>
            </w:r>
            <w:r>
              <w:t xml:space="preserve"> Even if the court </w:t>
            </w:r>
            <w:r w:rsidRPr="00390610">
              <w:t>order</w:t>
            </w:r>
            <w:r>
              <w:t>s</w:t>
            </w:r>
            <w:r w:rsidRPr="00390610">
              <w:t xml:space="preserve"> the administration to use reserves to partially fund food assistance</w:t>
            </w:r>
            <w:r>
              <w:t xml:space="preserve"> in November, l</w:t>
            </w:r>
            <w:r w:rsidRPr="00512ED6">
              <w:t>ocal food banks are already feeling the strain and are asking for help</w:t>
            </w:r>
            <w:r>
              <w:t xml:space="preserve">.  </w:t>
            </w:r>
            <w:r w:rsidRPr="00390610">
              <w:rPr>
                <w:b/>
                <w:bCs/>
              </w:rPr>
              <w:t>T</w:t>
            </w:r>
            <w:r w:rsidR="001D4445" w:rsidRPr="008C71A1">
              <w:rPr>
                <w:b/>
                <w:bCs/>
              </w:rPr>
              <w:t>he YavDems</w:t>
            </w:r>
            <w:r w:rsidR="001D4445">
              <w:rPr>
                <w:b/>
                <w:bCs/>
              </w:rPr>
              <w:t xml:space="preserve"> have</w:t>
            </w:r>
            <w:r w:rsidR="00DC089C" w:rsidRPr="008C71A1">
              <w:rPr>
                <w:b/>
                <w:bCs/>
              </w:rPr>
              <w:t xml:space="preserve"> teamed with </w:t>
            </w:r>
            <w:r w:rsidR="001D4445">
              <w:rPr>
                <w:b/>
                <w:bCs/>
              </w:rPr>
              <w:t xml:space="preserve">DWPA </w:t>
            </w:r>
            <w:r w:rsidR="008C71A1" w:rsidRPr="008C71A1">
              <w:rPr>
                <w:b/>
                <w:bCs/>
              </w:rPr>
              <w:t>to implement a two-pronged response:</w:t>
            </w:r>
          </w:p>
          <w:p w14:paraId="1399A507" w14:textId="6FC32DC8" w:rsidR="004F3012" w:rsidRPr="00D10336" w:rsidRDefault="004F3012" w:rsidP="001775EB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670" w:type="dxa"/>
          </w:tcPr>
          <w:p w14:paraId="085CCC39" w14:textId="48553C27" w:rsidR="004F3012" w:rsidRPr="004F3012" w:rsidRDefault="004F3012" w:rsidP="008E522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8F17611" wp14:editId="06A3C1DC">
                  <wp:extent cx="2867795" cy="2402821"/>
                  <wp:effectExtent l="0" t="0" r="8890" b="0"/>
                  <wp:docPr id="491435789" name="Picture 1" descr="A person holding her head with her hands and a piece of paper with a note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435789" name="Picture 1" descr="A person holding her head with her hands and a piece of paper with a note on it&#10;&#10;AI-generated content may be incorrect.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98" b="14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967" cy="2413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7D16BD" w14:textId="77777777" w:rsidR="004F3012" w:rsidRPr="0083156C" w:rsidRDefault="004F3012" w:rsidP="00EF4ED3">
      <w:pPr>
        <w:spacing w:after="0" w:line="240" w:lineRule="auto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"/>
        <w:gridCol w:w="9714"/>
      </w:tblGrid>
      <w:tr w:rsidR="004F3012" w14:paraId="065D58A0" w14:textId="77777777" w:rsidTr="001775EB">
        <w:tc>
          <w:tcPr>
            <w:tcW w:w="1076" w:type="dxa"/>
            <w:tcBorders>
              <w:bottom w:val="nil"/>
              <w:right w:val="nil"/>
            </w:tcBorders>
          </w:tcPr>
          <w:p w14:paraId="57536BD1" w14:textId="7B0C0126" w:rsidR="004F3012" w:rsidRDefault="001775EB" w:rsidP="001775EB">
            <w:pPr>
              <w:spacing w:line="216" w:lineRule="auto"/>
            </w:pPr>
            <w:r w:rsidRPr="000C033A">
              <w:rPr>
                <w:rFonts w:ascii="Batang" w:eastAsia="Batang" w:hAnsi="Batang"/>
                <w:b/>
                <w:bCs/>
                <w:sz w:val="144"/>
                <w:szCs w:val="144"/>
              </w:rPr>
              <w:t>1</w:t>
            </w:r>
          </w:p>
        </w:tc>
        <w:tc>
          <w:tcPr>
            <w:tcW w:w="9714" w:type="dxa"/>
            <w:tcBorders>
              <w:left w:val="nil"/>
              <w:bottom w:val="nil"/>
            </w:tcBorders>
          </w:tcPr>
          <w:p w14:paraId="365C19FA" w14:textId="5BE32934" w:rsidR="004F3012" w:rsidRPr="00777DFB" w:rsidRDefault="001775EB" w:rsidP="001775EB">
            <w:pPr>
              <w:rPr>
                <w:spacing w:val="-4"/>
              </w:rPr>
            </w:pPr>
            <w:r w:rsidRPr="00777DFB">
              <w:rPr>
                <w:spacing w:val="-4"/>
              </w:rPr>
              <w:t>Instead o</w:t>
            </w:r>
            <w:r w:rsidR="007860E9">
              <w:rPr>
                <w:spacing w:val="-4"/>
              </w:rPr>
              <w:t>f collecting food</w:t>
            </w:r>
            <w:r w:rsidRPr="00777DFB">
              <w:rPr>
                <w:spacing w:val="-4"/>
              </w:rPr>
              <w:t xml:space="preserve">, </w:t>
            </w:r>
            <w:r w:rsidR="00164D12" w:rsidRPr="00777DFB">
              <w:rPr>
                <w:spacing w:val="-4"/>
              </w:rPr>
              <w:t>the two organizations will work to</w:t>
            </w:r>
            <w:r w:rsidRPr="00777DFB">
              <w:rPr>
                <w:spacing w:val="-4"/>
              </w:rPr>
              <w:t xml:space="preserve"> </w:t>
            </w:r>
            <w:r w:rsidRPr="00777DFB">
              <w:rPr>
                <w:b/>
                <w:bCs/>
                <w:spacing w:val="-4"/>
              </w:rPr>
              <w:t>raise funds</w:t>
            </w:r>
            <w:r w:rsidRPr="00777DFB">
              <w:rPr>
                <w:spacing w:val="-4"/>
              </w:rPr>
              <w:t xml:space="preserve"> </w:t>
            </w:r>
            <w:r w:rsidRPr="003259CE">
              <w:rPr>
                <w:b/>
                <w:bCs/>
                <w:spacing w:val="-4"/>
              </w:rPr>
              <w:t>for the Prescott Community Cupboard</w:t>
            </w:r>
            <w:r w:rsidR="007860E9">
              <w:rPr>
                <w:b/>
                <w:bCs/>
                <w:spacing w:val="-4"/>
              </w:rPr>
              <w:t xml:space="preserve">.  </w:t>
            </w:r>
            <w:r w:rsidR="007860E9">
              <w:rPr>
                <w:spacing w:val="-4"/>
              </w:rPr>
              <w:t>The Cupboard</w:t>
            </w:r>
            <w:r w:rsidRPr="00777DFB">
              <w:rPr>
                <w:spacing w:val="-4"/>
              </w:rPr>
              <w:t xml:space="preserve"> serves </w:t>
            </w:r>
            <w:r w:rsidR="008067D6" w:rsidRPr="00777DFB">
              <w:rPr>
                <w:spacing w:val="-4"/>
              </w:rPr>
              <w:t xml:space="preserve">both </w:t>
            </w:r>
            <w:r w:rsidRPr="00777DFB">
              <w:rPr>
                <w:spacing w:val="-4"/>
              </w:rPr>
              <w:t>Prescott</w:t>
            </w:r>
            <w:r w:rsidR="008067D6" w:rsidRPr="00777DFB">
              <w:rPr>
                <w:spacing w:val="-4"/>
              </w:rPr>
              <w:t xml:space="preserve"> and </w:t>
            </w:r>
            <w:r w:rsidRPr="00777DFB">
              <w:rPr>
                <w:spacing w:val="-4"/>
              </w:rPr>
              <w:t>surrounding rural communities</w:t>
            </w:r>
            <w:r w:rsidR="00797CF2" w:rsidRPr="00777DFB">
              <w:rPr>
                <w:spacing w:val="-4"/>
              </w:rPr>
              <w:t>,</w:t>
            </w:r>
            <w:r w:rsidR="000D284B" w:rsidRPr="00777DFB">
              <w:rPr>
                <w:spacing w:val="-4"/>
              </w:rPr>
              <w:t xml:space="preserve"> where </w:t>
            </w:r>
            <w:r w:rsidR="00DC1142" w:rsidRPr="00777DFB">
              <w:rPr>
                <w:spacing w:val="-4"/>
              </w:rPr>
              <w:t xml:space="preserve">food insecurity is even </w:t>
            </w:r>
            <w:r w:rsidR="007860E9">
              <w:rPr>
                <w:spacing w:val="-4"/>
              </w:rPr>
              <w:t>higher</w:t>
            </w:r>
            <w:r w:rsidRPr="00777DFB">
              <w:rPr>
                <w:spacing w:val="-4"/>
              </w:rPr>
              <w:t xml:space="preserve">, through its mobile food </w:t>
            </w:r>
            <w:r w:rsidR="00A54C1A" w:rsidRPr="00777DFB">
              <w:rPr>
                <w:spacing w:val="-4"/>
              </w:rPr>
              <w:t>pantry</w:t>
            </w:r>
            <w:r w:rsidRPr="00777DFB">
              <w:rPr>
                <w:spacing w:val="-4"/>
              </w:rPr>
              <w:t xml:space="preserve">. Every </w:t>
            </w:r>
            <w:r w:rsidRPr="007860E9">
              <w:rPr>
                <w:spacing w:val="-6"/>
              </w:rPr>
              <w:t xml:space="preserve">donated dollar enables the food bank to purchase large quantities of food at wholesale prices. For example, </w:t>
            </w:r>
            <w:r w:rsidR="00164D12" w:rsidRPr="007860E9">
              <w:rPr>
                <w:spacing w:val="-6"/>
              </w:rPr>
              <w:t xml:space="preserve"> </w:t>
            </w:r>
            <w:r w:rsidRPr="007860E9">
              <w:rPr>
                <w:spacing w:val="-6"/>
              </w:rPr>
              <w:t xml:space="preserve">$1 can provide up to 4 meals </w:t>
            </w:r>
            <w:r w:rsidR="007860E9" w:rsidRPr="007860E9">
              <w:rPr>
                <w:spacing w:val="-6"/>
              </w:rPr>
              <w:t>by</w:t>
            </w:r>
            <w:r w:rsidRPr="007860E9">
              <w:rPr>
                <w:spacing w:val="-6"/>
              </w:rPr>
              <w:t xml:space="preserve"> buy</w:t>
            </w:r>
            <w:r w:rsidR="007860E9" w:rsidRPr="007860E9">
              <w:rPr>
                <w:spacing w:val="-6"/>
              </w:rPr>
              <w:t>ing</w:t>
            </w:r>
            <w:r w:rsidRPr="007860E9">
              <w:rPr>
                <w:spacing w:val="-6"/>
              </w:rPr>
              <w:t xml:space="preserve"> in bulk, $25 can feed a family for an entire week.</w:t>
            </w:r>
            <w:r w:rsidRPr="00777DFB">
              <w:rPr>
                <w:spacing w:val="-4"/>
              </w:rPr>
              <w:t xml:space="preserve"> </w:t>
            </w:r>
          </w:p>
        </w:tc>
      </w:tr>
      <w:tr w:rsidR="001775EB" w14:paraId="65D8BC9E" w14:textId="77777777" w:rsidTr="001775EB">
        <w:tc>
          <w:tcPr>
            <w:tcW w:w="10790" w:type="dxa"/>
            <w:gridSpan w:val="2"/>
            <w:tcBorders>
              <w:top w:val="nil"/>
            </w:tcBorders>
          </w:tcPr>
          <w:p w14:paraId="752F5337" w14:textId="53BE2D44" w:rsidR="001775EB" w:rsidRPr="00E959D6" w:rsidRDefault="003323B2" w:rsidP="00B1188A">
            <w:pPr>
              <w:spacing w:after="120"/>
              <w:rPr>
                <w:spacing w:val="-6"/>
              </w:rPr>
            </w:pPr>
            <w:r w:rsidRPr="00E959D6">
              <w:rPr>
                <w:spacing w:val="-6"/>
              </w:rPr>
              <w:t xml:space="preserve">For </w:t>
            </w:r>
            <w:proofErr w:type="spellStart"/>
            <w:r w:rsidR="001D4445" w:rsidRPr="00E959D6">
              <w:rPr>
                <w:spacing w:val="-6"/>
              </w:rPr>
              <w:t>YavDems</w:t>
            </w:r>
            <w:proofErr w:type="spellEnd"/>
            <w:r w:rsidRPr="00E959D6">
              <w:rPr>
                <w:spacing w:val="-6"/>
              </w:rPr>
              <w:t xml:space="preserve">, this </w:t>
            </w:r>
            <w:r w:rsidR="007D4CA1" w:rsidRPr="00E959D6">
              <w:rPr>
                <w:spacing w:val="-6"/>
              </w:rPr>
              <w:t>means 100% of the pr</w:t>
            </w:r>
            <w:r w:rsidR="00D9691E" w:rsidRPr="00E959D6">
              <w:rPr>
                <w:spacing w:val="-6"/>
              </w:rPr>
              <w:t xml:space="preserve">oceeds from </w:t>
            </w:r>
            <w:r w:rsidR="00F256D3">
              <w:rPr>
                <w:spacing w:val="-6"/>
              </w:rPr>
              <w:t>the</w:t>
            </w:r>
            <w:r w:rsidR="00767610" w:rsidRPr="00E959D6">
              <w:rPr>
                <w:spacing w:val="-6"/>
              </w:rPr>
              <w:t xml:space="preserve"> upcoming </w:t>
            </w:r>
            <w:r w:rsidR="001D4445" w:rsidRPr="00E959D6">
              <w:rPr>
                <w:spacing w:val="-6"/>
              </w:rPr>
              <w:t>Monthly General Meeting</w:t>
            </w:r>
            <w:r w:rsidR="00767610" w:rsidRPr="00E959D6">
              <w:rPr>
                <w:spacing w:val="-6"/>
              </w:rPr>
              <w:t>s on November 20</w:t>
            </w:r>
            <w:r w:rsidR="00767610" w:rsidRPr="00E959D6">
              <w:rPr>
                <w:spacing w:val="-6"/>
                <w:vertAlign w:val="superscript"/>
              </w:rPr>
              <w:t>th</w:t>
            </w:r>
            <w:r w:rsidR="00767610" w:rsidRPr="00E959D6">
              <w:rPr>
                <w:spacing w:val="-6"/>
              </w:rPr>
              <w:t xml:space="preserve"> and December 18</w:t>
            </w:r>
            <w:proofErr w:type="gramStart"/>
            <w:r w:rsidR="00767610" w:rsidRPr="00E959D6">
              <w:rPr>
                <w:spacing w:val="-6"/>
                <w:vertAlign w:val="superscript"/>
              </w:rPr>
              <w:t>th .</w:t>
            </w:r>
            <w:proofErr w:type="gramEnd"/>
            <w:r w:rsidR="00E959D6" w:rsidRPr="00E959D6">
              <w:rPr>
                <w:spacing w:val="-6"/>
              </w:rPr>
              <w:t xml:space="preserve"> </w:t>
            </w:r>
            <w:r w:rsidR="00B73D5C">
              <w:rPr>
                <w:spacing w:val="-6"/>
              </w:rPr>
              <w:t>will be donated</w:t>
            </w:r>
            <w:r w:rsidR="00E959D6" w:rsidRPr="00E959D6">
              <w:rPr>
                <w:spacing w:val="-6"/>
              </w:rPr>
              <w:t xml:space="preserve"> to the Community Cupboard. </w:t>
            </w:r>
            <w:r w:rsidR="00767610" w:rsidRPr="00E959D6">
              <w:rPr>
                <w:spacing w:val="-6"/>
              </w:rPr>
              <w:t>Please contribute what you can by:</w:t>
            </w:r>
          </w:p>
          <w:p w14:paraId="339850BA" w14:textId="77777777" w:rsidR="001775EB" w:rsidRPr="00B67FD1" w:rsidRDefault="001775EB" w:rsidP="001775EB">
            <w:pPr>
              <w:pStyle w:val="ListParagraph"/>
              <w:numPr>
                <w:ilvl w:val="0"/>
                <w:numId w:val="3"/>
              </w:numPr>
            </w:pPr>
            <w:r w:rsidRPr="00B67FD1">
              <w:t>Buying more raffle tickets than usual</w:t>
            </w:r>
          </w:p>
          <w:p w14:paraId="06CDAEB5" w14:textId="77777777" w:rsidR="00ED6CD7" w:rsidRDefault="001775EB" w:rsidP="001775EB">
            <w:pPr>
              <w:pStyle w:val="ListParagraph"/>
              <w:numPr>
                <w:ilvl w:val="0"/>
                <w:numId w:val="3"/>
              </w:numPr>
            </w:pPr>
            <w:r w:rsidRPr="00B67FD1">
              <w:t xml:space="preserve">Dropping cash or a check in a </w:t>
            </w:r>
            <w:r w:rsidR="00085E0A">
              <w:t xml:space="preserve">donation </w:t>
            </w:r>
            <w:r w:rsidRPr="00B67FD1">
              <w:t>jar</w:t>
            </w:r>
          </w:p>
          <w:p w14:paraId="2B2F855E" w14:textId="70215DAC" w:rsidR="001775EB" w:rsidRPr="00E4469C" w:rsidRDefault="0010749E" w:rsidP="001775EB">
            <w:pPr>
              <w:pStyle w:val="ListParagraph"/>
              <w:numPr>
                <w:ilvl w:val="0"/>
                <w:numId w:val="3"/>
              </w:numPr>
            </w:pPr>
            <w:r>
              <w:rPr>
                <w:spacing w:val="-6"/>
              </w:rPr>
              <w:t>Donating</w:t>
            </w:r>
            <w:r w:rsidR="00ED6CD7" w:rsidRPr="0010749E">
              <w:rPr>
                <w:spacing w:val="-6"/>
              </w:rPr>
              <w:t xml:space="preserve"> </w:t>
            </w:r>
            <w:r w:rsidR="00E4469C">
              <w:rPr>
                <w:spacing w:val="-6"/>
              </w:rPr>
              <w:t xml:space="preserve">directly to the Community Cupboard at: </w:t>
            </w:r>
            <w:hyperlink r:id="rId8" w:history="1">
              <w:r w:rsidR="00E4469C" w:rsidRPr="00027F10">
                <w:rPr>
                  <w:rStyle w:val="Hyperlink"/>
                  <w:spacing w:val="-6"/>
                </w:rPr>
                <w:t>https://thecommunitycupboard.org/donate.html</w:t>
              </w:r>
            </w:hyperlink>
            <w:r w:rsidR="001D4445">
              <w:rPr>
                <w:spacing w:val="-6"/>
              </w:rPr>
              <w:t xml:space="preserve"> </w:t>
            </w:r>
          </w:p>
          <w:p w14:paraId="7B722A96" w14:textId="7E35C3E2" w:rsidR="001775EB" w:rsidRPr="001775EB" w:rsidRDefault="001775EB" w:rsidP="00E4469C">
            <w:pPr>
              <w:spacing w:after="80"/>
              <w:rPr>
                <w:b/>
                <w:bCs/>
              </w:rPr>
            </w:pPr>
            <w:r w:rsidRPr="001775EB">
              <w:rPr>
                <w:b/>
                <w:bCs/>
              </w:rPr>
              <w:t>No amount is too small — every dollar truly makes a difference!</w:t>
            </w:r>
          </w:p>
        </w:tc>
      </w:tr>
    </w:tbl>
    <w:p w14:paraId="375AF939" w14:textId="77777777" w:rsidR="001775EB" w:rsidRPr="00F0542C" w:rsidRDefault="001775EB" w:rsidP="00EF4ED3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4"/>
        <w:gridCol w:w="1076"/>
      </w:tblGrid>
      <w:tr w:rsidR="004F3012" w14:paraId="5ECA7EA7" w14:textId="77777777" w:rsidTr="00EF4ED3">
        <w:tc>
          <w:tcPr>
            <w:tcW w:w="9805" w:type="dxa"/>
            <w:tcBorders>
              <w:bottom w:val="nil"/>
              <w:right w:val="nil"/>
            </w:tcBorders>
          </w:tcPr>
          <w:p w14:paraId="228EE225" w14:textId="3FFB2C24" w:rsidR="00EF4ED3" w:rsidRDefault="001D4445" w:rsidP="00EF4ED3">
            <w:r>
              <w:t>Additionally</w:t>
            </w:r>
            <w:r w:rsidR="00EF4ED3">
              <w:t xml:space="preserve">, </w:t>
            </w:r>
            <w:r>
              <w:t xml:space="preserve">the Yavapai County Democrats and </w:t>
            </w:r>
            <w:r w:rsidR="00EF4ED3" w:rsidRPr="00512ED6">
              <w:t>DWPA</w:t>
            </w:r>
            <w:r w:rsidR="003323B2">
              <w:t xml:space="preserve"> </w:t>
            </w:r>
            <w:r w:rsidR="00F33878">
              <w:t xml:space="preserve">are </w:t>
            </w:r>
            <w:r w:rsidR="00EF4ED3" w:rsidRPr="00512ED6">
              <w:t xml:space="preserve">coordinating </w:t>
            </w:r>
            <w:r w:rsidR="00EF4ED3">
              <w:t xml:space="preserve">with </w:t>
            </w:r>
            <w:r w:rsidR="00EF4ED3" w:rsidRPr="00512ED6">
              <w:t xml:space="preserve">Granite </w:t>
            </w:r>
            <w:r w:rsidR="000B4BDD">
              <w:t>Peak</w:t>
            </w:r>
            <w:r w:rsidR="00EF4ED3" w:rsidRPr="00512ED6">
              <w:t xml:space="preserve"> Unitarian Universalist Congregation </w:t>
            </w:r>
            <w:r w:rsidR="00EF4ED3" w:rsidRPr="003259CE">
              <w:rPr>
                <w:b/>
                <w:bCs/>
              </w:rPr>
              <w:t>to collect everyday essentials for donation to the GPUUC Food Pantry</w:t>
            </w:r>
            <w:r w:rsidR="00EF4ED3">
              <w:t xml:space="preserve">. These essentials include </w:t>
            </w:r>
            <w:r w:rsidR="00EF4ED3" w:rsidRPr="00512ED6">
              <w:t xml:space="preserve">diapers, </w:t>
            </w:r>
            <w:r w:rsidR="00EF4ED3">
              <w:t>feminine hygiene</w:t>
            </w:r>
            <w:r w:rsidR="00EF4ED3" w:rsidRPr="00512ED6">
              <w:t xml:space="preserve"> products, laundry detergent pods or sheets, dish detergent, soaps, deodorant, toilet paper, facial tissue, napkins, paper towels, toothpaste</w:t>
            </w:r>
            <w:r w:rsidR="00EF4ED3">
              <w:t>,</w:t>
            </w:r>
            <w:r w:rsidR="00EF4ED3" w:rsidRPr="00512ED6">
              <w:t xml:space="preserve"> and toothbrushes, etc. </w:t>
            </w:r>
          </w:p>
          <w:p w14:paraId="46C8EA9D" w14:textId="0A158432" w:rsidR="004F3012" w:rsidRPr="00EF4ED3" w:rsidRDefault="004F3012" w:rsidP="004F3012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left w:val="nil"/>
              <w:bottom w:val="nil"/>
            </w:tcBorders>
          </w:tcPr>
          <w:p w14:paraId="24DD747C" w14:textId="3CA29B87" w:rsidR="004F3012" w:rsidRDefault="00EF4ED3" w:rsidP="00EF4ED3">
            <w:pPr>
              <w:spacing w:line="216" w:lineRule="auto"/>
              <w:jc w:val="right"/>
            </w:pPr>
            <w:r w:rsidRPr="00EC692A">
              <w:rPr>
                <w:rFonts w:ascii="Batang" w:eastAsia="Batang" w:hAnsi="Batang"/>
                <w:b/>
                <w:bCs/>
                <w:sz w:val="144"/>
                <w:szCs w:val="144"/>
              </w:rPr>
              <w:t>2</w:t>
            </w:r>
          </w:p>
        </w:tc>
      </w:tr>
      <w:tr w:rsidR="00EF4ED3" w14:paraId="2D7FDB4A" w14:textId="77777777" w:rsidTr="00EF4ED3">
        <w:tc>
          <w:tcPr>
            <w:tcW w:w="10790" w:type="dxa"/>
            <w:gridSpan w:val="2"/>
            <w:tcBorders>
              <w:top w:val="nil"/>
            </w:tcBorders>
          </w:tcPr>
          <w:p w14:paraId="096CC9A1" w14:textId="6DE872AB" w:rsidR="00EF4ED3" w:rsidRDefault="004C273A" w:rsidP="004C273A">
            <w:r w:rsidRPr="004A6DC2">
              <w:t>Donations can be dropped off at the Yavapai County Democratic Party Headquarters (lower level, 101 W. Goodwin St.) Monday through Friday, 11</w:t>
            </w:r>
            <w:r w:rsidR="00933C7D">
              <w:t>am</w:t>
            </w:r>
            <w:r w:rsidRPr="004A6DC2">
              <w:t>–3</w:t>
            </w:r>
            <w:r w:rsidR="00933C7D">
              <w:t>pm</w:t>
            </w:r>
            <w:r w:rsidRPr="004A6DC2">
              <w:t xml:space="preserve">. </w:t>
            </w:r>
            <w:r w:rsidR="00322C61">
              <w:t>Another drop-off point is</w:t>
            </w:r>
            <w:r w:rsidRPr="004A6DC2">
              <w:t xml:space="preserve"> </w:t>
            </w:r>
            <w:r>
              <w:t xml:space="preserve">DWPA’s </w:t>
            </w:r>
            <w:r w:rsidRPr="004A6DC2">
              <w:t>Liberal Libations on November 5 at Augie’s from 4–6</w:t>
            </w:r>
            <w:r w:rsidR="00933C7D">
              <w:t>pm</w:t>
            </w:r>
            <w:r w:rsidRPr="004A6DC2">
              <w:t xml:space="preserve">. </w:t>
            </w:r>
            <w:r>
              <w:t>A c</w:t>
            </w:r>
            <w:r w:rsidRPr="004A6DC2">
              <w:t xml:space="preserve">ollection truck for everyday essentials will be available </w:t>
            </w:r>
            <w:r w:rsidR="00322C61" w:rsidRPr="004A6DC2">
              <w:t>outside the Center on Rosser at the YavDems General Meeting and Potluck on November 20</w:t>
            </w:r>
            <w:r w:rsidR="00322C61">
              <w:t xml:space="preserve"> (and </w:t>
            </w:r>
            <w:r w:rsidR="009A3900">
              <w:t xml:space="preserve">on the prior day, </w:t>
            </w:r>
            <w:r w:rsidR="00322C61">
              <w:t>at t</w:t>
            </w:r>
            <w:r w:rsidRPr="004A6DC2">
              <w:t xml:space="preserve">he Centennial Center </w:t>
            </w:r>
            <w:r w:rsidR="009A3900">
              <w:t>during the</w:t>
            </w:r>
            <w:r w:rsidR="003F3BBE">
              <w:t xml:space="preserve"> </w:t>
            </w:r>
            <w:r w:rsidR="009A3900">
              <w:t>November 19</w:t>
            </w:r>
            <w:r w:rsidR="009A3900" w:rsidRPr="009A3900">
              <w:rPr>
                <w:vertAlign w:val="superscript"/>
              </w:rPr>
              <w:t>th</w:t>
            </w:r>
            <w:r w:rsidRPr="004A6DC2">
              <w:t>DWPA Luncheon</w:t>
            </w:r>
            <w:r w:rsidR="0064747A">
              <w:t>).</w:t>
            </w:r>
          </w:p>
        </w:tc>
      </w:tr>
    </w:tbl>
    <w:p w14:paraId="65EC097E" w14:textId="77777777" w:rsidR="00CB1C48" w:rsidRPr="0086044E" w:rsidRDefault="00CB1C48" w:rsidP="004F3012">
      <w:pPr>
        <w:spacing w:after="0" w:line="240" w:lineRule="auto"/>
        <w:rPr>
          <w:sz w:val="2"/>
          <w:szCs w:val="2"/>
        </w:rPr>
      </w:pPr>
    </w:p>
    <w:p w14:paraId="52B03FBC" w14:textId="240BEA64" w:rsidR="003135AE" w:rsidRPr="00BE4393" w:rsidRDefault="00651861" w:rsidP="00651861">
      <w:pPr>
        <w:spacing w:before="120" w:after="0" w:line="240" w:lineRule="auto"/>
        <w:rPr>
          <w:b/>
          <w:bCs/>
          <w:i/>
          <w:iCs/>
        </w:rPr>
      </w:pPr>
      <w:r w:rsidRPr="00EB5A67">
        <w:rPr>
          <w:spacing w:val="-4"/>
        </w:rPr>
        <w:t xml:space="preserve">According to </w:t>
      </w:r>
      <w:hyperlink r:id="rId9" w:history="1">
        <w:r w:rsidRPr="002D30F6">
          <w:rPr>
            <w:rStyle w:val="Hyperlink"/>
            <w:color w:val="auto"/>
            <w:spacing w:val="-4"/>
          </w:rPr>
          <w:t>zipdatamaps.com</w:t>
        </w:r>
      </w:hyperlink>
      <w:r w:rsidRPr="00EB5A67">
        <w:rPr>
          <w:spacing w:val="-4"/>
        </w:rPr>
        <w:t>, as of July 2023, 21,415 Yavapai County residents received SNAP</w:t>
      </w:r>
      <w:r>
        <w:rPr>
          <w:spacing w:val="-4"/>
        </w:rPr>
        <w:t xml:space="preserve"> benefits</w:t>
      </w:r>
      <w:r w:rsidRPr="00EB5A67">
        <w:rPr>
          <w:spacing w:val="-4"/>
        </w:rPr>
        <w:t xml:space="preserve">, representing 10.1% of the population. The </w:t>
      </w:r>
      <w:hyperlink r:id="rId10" w:history="1">
        <w:r w:rsidRPr="002D30F6">
          <w:rPr>
            <w:rStyle w:val="Hyperlink"/>
            <w:color w:val="auto"/>
            <w:spacing w:val="-4"/>
          </w:rPr>
          <w:t>2019-2023 American Community Survey</w:t>
        </w:r>
      </w:hyperlink>
      <w:r w:rsidRPr="00EB5A67">
        <w:rPr>
          <w:spacing w:val="-4"/>
        </w:rPr>
        <w:t xml:space="preserve"> estimates that, of th</w:t>
      </w:r>
      <w:r>
        <w:rPr>
          <w:spacing w:val="-4"/>
        </w:rPr>
        <w:t>ose</w:t>
      </w:r>
      <w:r w:rsidRPr="00EB5A67">
        <w:rPr>
          <w:spacing w:val="-4"/>
        </w:rPr>
        <w:t xml:space="preserve"> households, 34% had children under 18, and 51.8% had one or more people aged 60</w:t>
      </w:r>
      <w:r>
        <w:rPr>
          <w:spacing w:val="-4"/>
        </w:rPr>
        <w:t>+.</w:t>
      </w:r>
      <w:r w:rsidRPr="00EB5A67">
        <w:rPr>
          <w:spacing w:val="-4"/>
        </w:rPr>
        <w:t xml:space="preserve"> </w:t>
      </w:r>
      <w:r w:rsidRPr="0086044E">
        <w:rPr>
          <w:b/>
          <w:bCs/>
          <w:i/>
          <w:iCs/>
        </w:rPr>
        <w:t xml:space="preserve">Together, </w:t>
      </w:r>
      <w:r>
        <w:rPr>
          <w:b/>
          <w:bCs/>
          <w:i/>
          <w:iCs/>
        </w:rPr>
        <w:t xml:space="preserve">the YavDems and </w:t>
      </w:r>
      <w:r w:rsidRPr="0086044E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DWPA</w:t>
      </w:r>
      <w:r w:rsidRPr="0086044E">
        <w:rPr>
          <w:b/>
          <w:bCs/>
          <w:i/>
          <w:iCs/>
        </w:rPr>
        <w:t xml:space="preserve"> can help ensure </w:t>
      </w:r>
      <w:r>
        <w:rPr>
          <w:b/>
          <w:bCs/>
          <w:i/>
          <w:iCs/>
        </w:rPr>
        <w:t>these individuals don’t go hungry</w:t>
      </w:r>
      <w:r w:rsidRPr="0086044E">
        <w:rPr>
          <w:b/>
          <w:bCs/>
          <w:i/>
          <w:iCs/>
        </w:rPr>
        <w:t xml:space="preserve"> during this </w:t>
      </w:r>
      <w:r>
        <w:rPr>
          <w:b/>
          <w:bCs/>
          <w:i/>
          <w:iCs/>
        </w:rPr>
        <w:t xml:space="preserve">difficult </w:t>
      </w:r>
      <w:r w:rsidRPr="0086044E">
        <w:rPr>
          <w:b/>
          <w:bCs/>
          <w:i/>
          <w:iCs/>
        </w:rPr>
        <w:t>time.</w:t>
      </w:r>
    </w:p>
    <w:sectPr w:rsidR="003135AE" w:rsidRPr="00BE4393" w:rsidSect="003259CE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200"/>
    <w:multiLevelType w:val="multilevel"/>
    <w:tmpl w:val="2450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E1B97"/>
    <w:multiLevelType w:val="hybridMultilevel"/>
    <w:tmpl w:val="54DA9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5360B7"/>
    <w:multiLevelType w:val="hybridMultilevel"/>
    <w:tmpl w:val="5A9A2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830489">
    <w:abstractNumId w:val="0"/>
  </w:num>
  <w:num w:numId="2" w16cid:durableId="1490944530">
    <w:abstractNumId w:val="2"/>
  </w:num>
  <w:num w:numId="3" w16cid:durableId="23450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BB"/>
    <w:rsid w:val="000119D3"/>
    <w:rsid w:val="00023822"/>
    <w:rsid w:val="00047CF2"/>
    <w:rsid w:val="0007462C"/>
    <w:rsid w:val="00085E0A"/>
    <w:rsid w:val="000B2835"/>
    <w:rsid w:val="000B2E95"/>
    <w:rsid w:val="000B4BDD"/>
    <w:rsid w:val="000D284B"/>
    <w:rsid w:val="000E4CB2"/>
    <w:rsid w:val="000F035A"/>
    <w:rsid w:val="0010749E"/>
    <w:rsid w:val="00164D12"/>
    <w:rsid w:val="00171437"/>
    <w:rsid w:val="001775EB"/>
    <w:rsid w:val="0018262D"/>
    <w:rsid w:val="0018745B"/>
    <w:rsid w:val="001D4445"/>
    <w:rsid w:val="002001BC"/>
    <w:rsid w:val="00224586"/>
    <w:rsid w:val="0026573F"/>
    <w:rsid w:val="002C4560"/>
    <w:rsid w:val="002D30F6"/>
    <w:rsid w:val="003135AE"/>
    <w:rsid w:val="00322C61"/>
    <w:rsid w:val="003259CE"/>
    <w:rsid w:val="003323B2"/>
    <w:rsid w:val="003614EC"/>
    <w:rsid w:val="00390610"/>
    <w:rsid w:val="003F3BBE"/>
    <w:rsid w:val="00414103"/>
    <w:rsid w:val="004C273A"/>
    <w:rsid w:val="004D13E6"/>
    <w:rsid w:val="004F3012"/>
    <w:rsid w:val="00515F39"/>
    <w:rsid w:val="0053567C"/>
    <w:rsid w:val="005403D5"/>
    <w:rsid w:val="00546A85"/>
    <w:rsid w:val="0056387D"/>
    <w:rsid w:val="00604368"/>
    <w:rsid w:val="00621B96"/>
    <w:rsid w:val="0064747A"/>
    <w:rsid w:val="00651861"/>
    <w:rsid w:val="006B2606"/>
    <w:rsid w:val="00752DDD"/>
    <w:rsid w:val="00767610"/>
    <w:rsid w:val="0077438B"/>
    <w:rsid w:val="00777DFB"/>
    <w:rsid w:val="007860E9"/>
    <w:rsid w:val="00797CF2"/>
    <w:rsid w:val="007D4CA1"/>
    <w:rsid w:val="008067D6"/>
    <w:rsid w:val="0083156C"/>
    <w:rsid w:val="0086044E"/>
    <w:rsid w:val="008714CC"/>
    <w:rsid w:val="008866A0"/>
    <w:rsid w:val="008947A1"/>
    <w:rsid w:val="008C71A1"/>
    <w:rsid w:val="008D5C1E"/>
    <w:rsid w:val="008D772C"/>
    <w:rsid w:val="008E522F"/>
    <w:rsid w:val="00933C7D"/>
    <w:rsid w:val="009367EC"/>
    <w:rsid w:val="00957BA9"/>
    <w:rsid w:val="009746CE"/>
    <w:rsid w:val="009A3900"/>
    <w:rsid w:val="009A7AD1"/>
    <w:rsid w:val="009B7C40"/>
    <w:rsid w:val="00A54C1A"/>
    <w:rsid w:val="00A56CCF"/>
    <w:rsid w:val="00A9230A"/>
    <w:rsid w:val="00AA3A67"/>
    <w:rsid w:val="00AD108A"/>
    <w:rsid w:val="00AF2382"/>
    <w:rsid w:val="00B01A86"/>
    <w:rsid w:val="00B1188A"/>
    <w:rsid w:val="00B20038"/>
    <w:rsid w:val="00B215CF"/>
    <w:rsid w:val="00B22256"/>
    <w:rsid w:val="00B52C39"/>
    <w:rsid w:val="00B73D5C"/>
    <w:rsid w:val="00BB21CE"/>
    <w:rsid w:val="00BC7E0D"/>
    <w:rsid w:val="00BE4393"/>
    <w:rsid w:val="00C65B59"/>
    <w:rsid w:val="00CB1C48"/>
    <w:rsid w:val="00CB7F4B"/>
    <w:rsid w:val="00CE14DE"/>
    <w:rsid w:val="00D10336"/>
    <w:rsid w:val="00D23FBB"/>
    <w:rsid w:val="00D27814"/>
    <w:rsid w:val="00D44628"/>
    <w:rsid w:val="00D86C22"/>
    <w:rsid w:val="00D9691E"/>
    <w:rsid w:val="00DC089C"/>
    <w:rsid w:val="00DC1142"/>
    <w:rsid w:val="00DD7562"/>
    <w:rsid w:val="00DE30A6"/>
    <w:rsid w:val="00DE582C"/>
    <w:rsid w:val="00E11710"/>
    <w:rsid w:val="00E36B6A"/>
    <w:rsid w:val="00E4469C"/>
    <w:rsid w:val="00E47DD7"/>
    <w:rsid w:val="00E959D6"/>
    <w:rsid w:val="00EB5A67"/>
    <w:rsid w:val="00EC1CBC"/>
    <w:rsid w:val="00ED6CD7"/>
    <w:rsid w:val="00ED7797"/>
    <w:rsid w:val="00EF4ED3"/>
    <w:rsid w:val="00F0542C"/>
    <w:rsid w:val="00F256D3"/>
    <w:rsid w:val="00F33878"/>
    <w:rsid w:val="00F435E6"/>
    <w:rsid w:val="00F6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BD1A5"/>
  <w15:chartTrackingRefBased/>
  <w15:docId w15:val="{68616DCD-5213-432B-AE47-7E052920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F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1B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ommunitycupboard.org/donat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census.gov/programs-surveys/ac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ipdatamap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Downing</dc:creator>
  <cp:keywords/>
  <dc:description/>
  <cp:lastModifiedBy>kasauer@marcellilaw.com</cp:lastModifiedBy>
  <cp:revision>3</cp:revision>
  <cp:lastPrinted>2025-10-31T15:35:00Z</cp:lastPrinted>
  <dcterms:created xsi:type="dcterms:W3CDTF">2025-10-31T18:39:00Z</dcterms:created>
  <dcterms:modified xsi:type="dcterms:W3CDTF">2025-10-31T18:46:00Z</dcterms:modified>
</cp:coreProperties>
</file>